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5AE0E" w14:textId="612E891C" w:rsidR="00362A68" w:rsidRPr="00362A68" w:rsidRDefault="00362A68" w:rsidP="00362A68">
      <w:pPr>
        <w:pStyle w:val="Titolo1"/>
        <w:ind w:right="376"/>
        <w:jc w:val="right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Allegato </w:t>
      </w:r>
      <w:r w:rsidR="00C37E92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A4</w:t>
      </w: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 al PTPCT 2026-2028</w:t>
      </w:r>
    </w:p>
    <w:p w14:paraId="01472962" w14:textId="6D70FF0E" w:rsidR="00362A68" w:rsidRPr="00362A68" w:rsidRDefault="00362A68" w:rsidP="00362A68">
      <w:pPr>
        <w:pStyle w:val="Titolo1"/>
        <w:spacing w:before="0" w:after="0"/>
        <w:ind w:right="376"/>
        <w:jc w:val="center"/>
        <w:rPr>
          <w:rFonts w:ascii="Microsoft Sans Serif" w:eastAsia="Microsoft Sans Serif" w:hAnsi="Microsoft Sans Serif" w:cs="Microsoft Sans Serif"/>
          <w:b/>
          <w:bCs/>
          <w:color w:val="auto"/>
          <w:sz w:val="28"/>
          <w:szCs w:val="28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8"/>
          <w:szCs w:val="28"/>
        </w:rPr>
        <w:t>Patto di Integrità</w:t>
      </w:r>
    </w:p>
    <w:p w14:paraId="220B3738" w14:textId="77777777" w:rsidR="00362A68" w:rsidRPr="00362A68" w:rsidRDefault="00362A68" w:rsidP="00362A68">
      <w:pPr>
        <w:pStyle w:val="Titolo1"/>
        <w:spacing w:before="0" w:after="0"/>
        <w:ind w:right="376"/>
        <w:jc w:val="center"/>
        <w:rPr>
          <w:rFonts w:ascii="Microsoft Sans Serif" w:eastAsia="Microsoft Sans Serif" w:hAnsi="Microsoft Sans Serif" w:cs="Microsoft Sans Serif"/>
          <w:b/>
          <w:bCs/>
          <w:color w:val="auto"/>
          <w:sz w:val="28"/>
          <w:szCs w:val="28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8"/>
          <w:szCs w:val="28"/>
        </w:rPr>
        <w:t>(art. 1 comma 17 della legge 190/2012)</w:t>
      </w:r>
    </w:p>
    <w:p w14:paraId="2352360A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23EFE2AE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1</w:t>
      </w:r>
    </w:p>
    <w:p w14:paraId="44D80284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Il presente Patto d’integrità obbliga stazione appaltante ed operatore economico ad improntare i propri comportamenti ai principi di lealtà, trasparenza e correttezza. Nel caso in cui l’operatore economico sia un consorzio ordinario, un raggruppamento temporaneo o altra aggregazione d’imprese, le obbligazioni del presente Patto investono tutti i partecipanti al consorzio, al raggruppamento o all’aggregazione.</w:t>
      </w:r>
    </w:p>
    <w:p w14:paraId="2DE56738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2</w:t>
      </w:r>
    </w:p>
    <w:p w14:paraId="54B5A8A8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Il presente Patto di integrità costituisce parte integrante di ogni contratto d’appalto e di concessione di lavori, servizi o forniture, affidato dalla stazione appaltante. Sarà, pertanto, allegato al contratto stipulato con l’aggiudicatario. In sede di gara, l’operatore economico, a pena di esclusione, dichiara di accettare ed approvare la disciplina stabilita dal Patto.</w:t>
      </w:r>
    </w:p>
    <w:p w14:paraId="581422A6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3</w:t>
      </w:r>
    </w:p>
    <w:p w14:paraId="1782308B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Nell’ambito delle procedure selettive per l’affidamento di contratti d’appalto o di concessione di lavori, servizi o forniture, la stazione appaltante e gli operatori economici interessati, sia i concorrenti non aggiudicatari che l’aggiudicatario della commessa pubblica, improntano i propri comportamenti:</w:t>
      </w:r>
    </w:p>
    <w:p w14:paraId="788D1018" w14:textId="3CE59161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al rispetto del principio della reciproca fiducia nell’azione legittima, trasparente e corretta dell’amministrazione, dei suoi funzionari e degli operatori economici come previsto dall’art. 2 del d.lgs. 36/2023;</w:t>
      </w:r>
    </w:p>
    <w:p w14:paraId="56AF737C" w14:textId="12C0BD39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ai principi di lealtà, collaborazione, trasparenza e reciproca correttezza.</w:t>
      </w:r>
    </w:p>
    <w:p w14:paraId="23EE452C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4</w:t>
      </w:r>
    </w:p>
    <w:p w14:paraId="06E07CC2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L’Appaltatore o concessionario, consapevole delle sanzioni di natura penale per l’eventuale rilascio di dichiarazioni false o mendaci (art. 76 del DPR 445/2000), dichiara quanto segue:</w:t>
      </w:r>
    </w:p>
    <w:p w14:paraId="6D1ED4CC" w14:textId="6CD6325C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non ha influenzato in alcun modo, né direttamente né indirettamente, la formulazione dei documenti costitutivi la legge di gara allo scopo di condizionare la scelta dell’aggiudicatario;</w:t>
      </w:r>
    </w:p>
    <w:p w14:paraId="52D68A66" w14:textId="71DD8808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non ha corrisposto, non ha promesso di corrispondere ad alcuno e s’impegna a non corrispondere mai, né a promettere mai, di corrispondere ad alcuno, direttamente o tramite terzi, denaro, regali o altre utilità per agevolare l’aggiudicazione o la gestione del successivo rapporto contrattuale;</w:t>
      </w:r>
    </w:p>
    <w:p w14:paraId="0B88414D" w14:textId="54B7DA14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esclude qualsiasi forma di mediazione, o altra attività svolta da terzi, finalizzata a promuovere, facilitare o favorire l’aggiudicazione in suo favore e la successiva gestione del rapporto contrattuale;</w:t>
      </w:r>
    </w:p>
    <w:p w14:paraId="053DDD13" w14:textId="13807543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non si trova in situazione di controllo o di collegamento, né formale né sostanziale, con altri operatori che hanno partecipato alla selezione e non si è accordato, e non si accorderà, con altri partecipanti alla procedura per indirizzarne l’aggiudicazione e non ha promosso, né formalizzato, intese o altre pratiche restrittive lesive della concorrenza per indirizzare l’aggiudicazione:</w:t>
      </w:r>
    </w:p>
    <w:p w14:paraId="760A26E5" w14:textId="21581CDD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assicura di non aver consolidato intese o pratiche vietate restrittive o lesive della concorrenza e del mercato;</w:t>
      </w:r>
    </w:p>
    <w:p w14:paraId="02955D94" w14:textId="784E2162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che non sussistono rapporti di parentela o di familiarità con i soggetti che hanno partecipato alla definizione della procedura di gara</w:t>
      </w:r>
    </w:p>
    <w:p w14:paraId="6EE032D8" w14:textId="5387458B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 </w:t>
      </w:r>
      <w:r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ab/>
      </w: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ovvero</w:t>
      </w:r>
    </w:p>
    <w:p w14:paraId="54367CC6" w14:textId="38222A94" w:rsidR="00362A68" w:rsidRPr="00362A68" w:rsidRDefault="00362A68" w:rsidP="00362A68">
      <w:pPr>
        <w:pStyle w:val="Titolo1"/>
        <w:spacing w:before="0" w:after="0"/>
        <w:ind w:left="720"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che sussistono relazioni di parentela o affinità con i dipendenti della Stazione Appaltante, che, tuttavia, non hanno determinato alcun vantaggio per facilitare l’aggiudicazione dell’appalto e si impegna, altresì, ad evitare che tali rapporti determinino eventuali benefici nella fase di esecutiva del contratto;</w:t>
      </w:r>
    </w:p>
    <w:p w14:paraId="495DA15B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5</w:t>
      </w:r>
    </w:p>
    <w:p w14:paraId="2803E957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L’Appaltatore, per dare concreta attuazione al presente:</w:t>
      </w:r>
    </w:p>
    <w:p w14:paraId="391B7ACF" w14:textId="542E21CB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lastRenderedPageBreak/>
        <w:t>si impegna ed obbliga a segnalare alla stazione appaltante irregolarità, distorsioni, tentativi di turbativa della gara e della successiva gestione del rapporto contrattuale poste in essere da chiunque e, in particolare, da amministratori e politici, dipendenti e collaboratori della stazione appaltante (a tal fine, si precisa che al segnalante si applicano le tutele del whistleblower, previste dalla legge 190/2012 e dal d.lgs. 24/2023);</w:t>
      </w:r>
    </w:p>
    <w:p w14:paraId="6E43269F" w14:textId="14874D15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si impegna a</w:t>
      </w: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 xml:space="preserve"> comunicare qualsiasi conflitto di interessi che insorga successivamente con i dipendenti della Stazione appaltante;</w:t>
      </w:r>
    </w:p>
    <w:p w14:paraId="212D9048" w14:textId="6B0A0502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informa i propri collaboratori e dipendenti degli obblighi recati dal presente e vigila affinché detti obblighi siano osservati;</w:t>
      </w:r>
    </w:p>
    <w:p w14:paraId="6C04F0FF" w14:textId="71C99718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collabora con le forze di pubblica scurezza, denunciando ogni tentativo di estorsione, intimidazione, condizionamento da parte di terzi anche se anonimi;</w:t>
      </w:r>
    </w:p>
    <w:p w14:paraId="149E547C" w14:textId="42E5B411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acquisisce, con le stesse modalità e gli stessi adempimenti previsti dalla normativa vigente in materia di subappalto, la preventiva autorizzazione della stazione appaltante anche per cottimi e sub- affidamenti relativi alle seguenti categorie:</w:t>
      </w:r>
    </w:p>
    <w:p w14:paraId="191BD79D" w14:textId="23EDF424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estrazione, fornitura e trasporto di terra e materiali inerti; confezionamento, fornitura e trasporto di calcestruzzo e di bitume; noli a freddo di macchinari; fornitura di ferro lavorato; noli a caldo; autotrasporti per conto di terzi; guardiania dei cantieri; servizi funerari e cimiteriali; ristorazione, gestione delle mense e catering; servizi ambientali, comprese le attività di raccolta, di trasporto nazionale e transfrontaliero, anche per conto di terzi, di trattamento e di smaltimento dei rifiuti, nonché le attività di risanamento e di bonifica e gli altri servizi connessi alla gestione dei rifiuti (cfr. art. 1 co. 53 della legge 190/2012 e smi);</w:t>
      </w:r>
    </w:p>
    <w:p w14:paraId="5C2B6F36" w14:textId="0BC8C648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inserisce clausole di integrità e anticorruzione nei contratti di subappalto, pena il diniego dell’autorizzazione;</w:t>
      </w:r>
    </w:p>
    <w:p w14:paraId="095647E8" w14:textId="072B82B5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comunica tempestivamente, alla Prefettura ed all’Autorità giudiziaria, tentativi di concussione che si siano, in qualsiasi modo, manifestati nei confronti dell’imprenditore, degli organi sociali o dei dirigenti d’impresa; il presente adempimento ha natura essenziale ai fini dell’esecuzione del contratto; il relativo inadempimento darà luogo alla risoluzione del contratto stesso, ai sensi dell’art. 1456 del c.c.; medesima risoluzione interverrà ogni qualvolta, nei confronti di pubblici amministratori, che abbiano esercitato funzioni relative alla stipula ed esecuzione del contratto, sia disposta misura cautelare o sia intervenuto rinvio a giudizio per il delitto previsto dall’art. 317 del c.p..</w:t>
      </w:r>
    </w:p>
    <w:p w14:paraId="4E11483A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6</w:t>
      </w:r>
    </w:p>
    <w:p w14:paraId="080CB4B6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L’Appaltatore si impegna ed obbliga, a norma dell’art. 53 co. 16-ter d.lgs. 165/2001, a non assumere nel proprio organico, nemmeno con contratti di prestazione professionale, collaborazione o di mera consulenza, dipendenti cessati dalla stazione appaltante che, negli ultimi tre anni di servizio, abbiano esercitato poteri autoritativi o negoziali per conto della stessa stazione appaltante.</w:t>
      </w:r>
    </w:p>
    <w:p w14:paraId="6A7D6336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Nel caso di violazione del divieto, i contratti d’appalto conclusi e gli incarichi conferiti sono nulli e all’appaltatore è vietato contrattare con la stazione appaltante per tre anni.</w:t>
      </w:r>
    </w:p>
    <w:p w14:paraId="6753F830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7</w:t>
      </w:r>
    </w:p>
    <w:p w14:paraId="3D28F7AD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La stazione appaltante per dare concreta attuazione al presente:</w:t>
      </w:r>
    </w:p>
    <w:p w14:paraId="67B26C1B" w14:textId="6453942A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in caso di violazione dei principi di cui all’art. 2 del presente, si impegna ed obbliga ad avviare senza indugio procedimenti disciplinari nei confronti del personale, intervenuto nella procedura di gara e nell’esecuzione del contratto;</w:t>
      </w:r>
    </w:p>
    <w:p w14:paraId="42EA33DB" w14:textId="7C3364C2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si impegna ad avviare senza indugio procedimenti disciplinari nei confronti del personale nel caso di violazioni del Codice di comportamento della stazione appaltate, o del DPR 62/2013 (Regolamento recante codice di comportamento dei dipendenti pubblici), che incidano o abbiano inciso, direttamente o indirettamente, sulla gestione del rapporto contrattuale e sull’aggiudicazione;</w:t>
      </w:r>
    </w:p>
    <w:p w14:paraId="2DD42F8D" w14:textId="1844830B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segnala, senza indugio, ogni illecito all’Autorità giudiziaria;</w:t>
      </w:r>
    </w:p>
    <w:p w14:paraId="403109A4" w14:textId="5459D28F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rende pubblici i dati riguardanti la procedura e l’aggiudicazione in esecuzione della normativa in materia di trasparenza.</w:t>
      </w:r>
    </w:p>
    <w:p w14:paraId="344BB51E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Inoltre, la stazione appaltante:</w:t>
      </w:r>
    </w:p>
    <w:p w14:paraId="576FFFE3" w14:textId="12D903BD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lastRenderedPageBreak/>
        <w:t>si avvale della clausola risolutiva espressa, di cui all’art. 1456 Codice civile, ogni qualvolta nei confronti dell’aggiudicatario, di taluno dei componenti la compagine sociale o dei dirigenti dell’impresa, sia stata disposta misura cautelare o sia intervenuto rinvio a giudizio per taluno dei reati contro la pubblica amministrazione previsti dal Codice penale;</w:t>
      </w:r>
    </w:p>
    <w:p w14:paraId="7EB885F2" w14:textId="0DA2B2EE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si riserva di risolvere il contratto d’appalto laddove nei confronti di propri amministratori o dipendenti, che abbiano esercitato compiti relativi all’aggiudicazione, alla stipula ed alla esecuzione del contratto, sia disposta misura cautelare o sia intervenuto rinvio a giudizio per taluno dei reati contro la pubblica amministrazione previsti dal Codice penale.</w:t>
      </w:r>
    </w:p>
    <w:p w14:paraId="07F796FE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8</w:t>
      </w:r>
    </w:p>
    <w:p w14:paraId="40684E56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L’eventuale violazione del presente Patto di integrità è decretata dalla stazione appaltante a conclusione di un procedimento di verifica, nel quale è assicurata all’operatore economico la possibilità di depositare memorie difensive e controdeduzioni.</w:t>
      </w:r>
    </w:p>
    <w:p w14:paraId="7C921EB1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La violazione da parte dell’operatore economico, sia quale concorrente, sia quale aggiudicatario, di uno degli impegni previsti dal presente può comportare:</w:t>
      </w:r>
    </w:p>
    <w:p w14:paraId="0CB06A42" w14:textId="5125FDFD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l’esclusione dalla gara con escussione della cauzione provvisoria a corredo dell'offerta;</w:t>
      </w:r>
    </w:p>
    <w:p w14:paraId="66E9267D" w14:textId="181785AF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la risoluzione del contratto ai sensi dell’articolo 1456 del Codice civile per grave inadempimento e in danno dell'operatore economico, con conseguente escussione della cauzione definitiva a garanzia dell’esecuzione;</w:t>
      </w:r>
    </w:p>
    <w:p w14:paraId="19767250" w14:textId="4A5D1F44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la responsabilità per danno arrecato alla stazione appaltante nella misura del 10% del valore del contratto (se non coperto dall'incameramento della cauzione definitiva), impregiudicata la prova dell’esistenza di un danno maggiore;</w:t>
      </w:r>
    </w:p>
    <w:p w14:paraId="700C25ED" w14:textId="501EFEF9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l’esclusione del concorrente dalle gare indette dalla stazione appaltante per un periodo non inferiore ad un anno e non superiore a cinque, determinato in ragione della gravità dei fatti accertati e dell'entità economica del contratto;</w:t>
      </w:r>
    </w:p>
    <w:p w14:paraId="1D17DE26" w14:textId="0C52ABCA" w:rsidR="00362A68" w:rsidRPr="00362A68" w:rsidRDefault="00362A68" w:rsidP="00362A68">
      <w:pPr>
        <w:pStyle w:val="Titolo1"/>
        <w:numPr>
          <w:ilvl w:val="0"/>
          <w:numId w:val="4"/>
        </w:numPr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la segnalazione all’Autorità nazionale anticorruzione e all’Autorità giudiziaria.</w:t>
      </w:r>
    </w:p>
    <w:p w14:paraId="37B224C2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9</w:t>
      </w:r>
    </w:p>
    <w:p w14:paraId="0E1AD0E1" w14:textId="033AF47C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Il presente patto vincola la stazione appaltante e l’operatore economico per tutta la durata della procedura di gara e, in caso di aggiudicazione, sino al completamento, a regola d’arte, della prestazione contrattuale.</w:t>
      </w:r>
    </w:p>
    <w:p w14:paraId="35CC0AC3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b/>
          <w:bCs/>
          <w:color w:val="auto"/>
          <w:sz w:val="22"/>
          <w:szCs w:val="22"/>
        </w:rPr>
        <w:t>Articolo 10</w:t>
      </w:r>
    </w:p>
    <w:p w14:paraId="6FC5B3D1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Ogni controversia relativa all’interpretazione ed all’esecuzione del presente Patto di Integrità tra le Stazioni Appaltanti ed i concorrenti ovvero tra gli stessi concorrenti sarà risolta dall’Autorità Giudiziaria competente in relazione al tipo di violazione.</w:t>
      </w:r>
    </w:p>
    <w:p w14:paraId="0E903A56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4E1AADD0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Luogo e data,</w:t>
      </w:r>
    </w:p>
    <w:p w14:paraId="708AE3B8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1B4EFDE9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  <w:r w:rsidRPr="00362A68">
        <w:rPr>
          <w:rFonts w:ascii="Microsoft Sans Serif" w:eastAsia="Microsoft Sans Serif" w:hAnsi="Microsoft Sans Serif" w:cs="Microsoft Sans Serif"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DB61E9B" wp14:editId="4EC111AD">
                <wp:simplePos x="0" y="0"/>
                <wp:positionH relativeFrom="page">
                  <wp:posOffset>3866950</wp:posOffset>
                </wp:positionH>
                <wp:positionV relativeFrom="paragraph">
                  <wp:posOffset>153492</wp:posOffset>
                </wp:positionV>
                <wp:extent cx="2228215" cy="1270"/>
                <wp:effectExtent l="0" t="0" r="0" b="0"/>
                <wp:wrapNone/>
                <wp:docPr id="225" name="Graphic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8215">
                              <a:moveTo>
                                <a:pt x="0" y="0"/>
                              </a:moveTo>
                              <a:lnTo>
                                <a:pt x="2227853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AB431" id="Graphic 225" o:spid="_x0000_s1026" style="position:absolute;margin-left:304.5pt;margin-top:12.1pt;width:175.4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8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T/PFQIAAFsEAAAOAAAAZHJzL2Uyb0RvYy54bWysVE1v2zAMvQ/YfxB0Xxy76JoZcYqhQYcB&#10;RVegGXZWZDk2JosapcTOvx8lfyTrbsN8ECjxiXzko7y+71vNTgpdA6bg6WLJmTISysYcCv599/hh&#10;xZnzwpRCg1EFPyvH7zfv3607m6sMatClQkZBjMs7W/Dae5sniZO1aoVbgFWGnBVgKzxt8ZCUKDqK&#10;3uokWy4/Jh1gaRGkco5Ot4OTb2L8qlLSf6sqpzzTBSduPq4Y131Yk81a5AcUtm7kSEP8A4tWNIaS&#10;zqG2wgt2xOavUG0jERxUfiGhTaCqGqliDVRNunxTzWstrIq1UHOcndvk/l9Y+Xx6tS8YqDv7BPKn&#10;o44knXX57AkbN2L6CtuAJeKsj108z11UvWeSDrMsW2XpLWeSfGl2F5uciHy6K4/Of1EQ44jTk/OD&#10;BuVkiXqyZG8mE0nJoKGOGnrOSEPkjDTcDxpa4cO9QC6YrLsQCWctnNQOote/YU7ULl5trlFUyt3q&#10;9oazqUrCDggyQhrq1WDE1GRfF6dNYPEpTW/iaDjQTfnYaB1YODzsHzSykwiDGb9QB0X4A2bR+a1w&#10;9YCLrhGmzajTIE0QaQ/l+QVZR9NccPfrKFBxpr8aGpcw+pOBk7GfDPT6AeIDiQ2inLv+h0DLQvqC&#10;e1L2GaZhFPkkWih9xoabBj4fPVRNUDTO0MBo3NAExwLH1xaeyPU+oi7/hM1vAAAA//8DAFBLAwQU&#10;AAYACAAAACEAMaqqv90AAAAJAQAADwAAAGRycy9kb3ducmV2LnhtbEyPwU7DMBBE70j8g7VI3KhD&#10;VCoc4lQIiR4qcaDlws2Nt0mKvY5iJ03/nu0Jjjs7mnlTrmfvxIRD7AJpeFxkIJDqYDtqNHzt3x+e&#10;QcRkyBoXCDVcMMK6ur0pTWHDmT5x2qVGcAjFwmhoU+oLKWPdojdxEXok/h3D4E3ic2ikHcyZw72T&#10;eZatpDcdcUNrenxrsf7ZjZ573YidUtM2uc3l1G+l/d70H1rf382vLyASzunPDFd8RoeKmQ5hJBuF&#10;07DKFG9JGvJlDoIN6kkpEIersARZlfL/guoXAAD//wMAUEsBAi0AFAAGAAgAAAAhALaDOJL+AAAA&#10;4QEAABMAAAAAAAAAAAAAAAAAAAAAAFtDb250ZW50X1R5cGVzXS54bWxQSwECLQAUAAYACAAAACEA&#10;OP0h/9YAAACUAQAACwAAAAAAAAAAAAAAAAAvAQAAX3JlbHMvLnJlbHNQSwECLQAUAAYACAAAACEA&#10;IVE/zxUCAABbBAAADgAAAAAAAAAAAAAAAAAuAgAAZHJzL2Uyb0RvYy54bWxQSwECLQAUAAYACAAA&#10;ACEAMaqqv90AAAAJAQAADwAAAAAAAAAAAAAAAABvBAAAZHJzL2Rvd25yZXYueG1sUEsFBgAAAAAE&#10;AAQA8wAAAHkFAAAAAA==&#10;" path="m,l2227853,e" filled="f" strokeweight=".25314mm">
                <v:path arrowok="t"/>
                <w10:wrap anchorx="page"/>
              </v:shape>
            </w:pict>
          </mc:Fallback>
        </mc:AlternateContent>
      </w:r>
      <w:r w:rsidRPr="00362A68">
        <w:rPr>
          <w:rFonts w:ascii="Microsoft Sans Serif" w:eastAsia="Microsoft Sans Serif" w:hAnsi="Microsoft Sans Serif" w:cs="Microsoft Sans Serif"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FCFECF1" wp14:editId="46C1C440">
                <wp:simplePos x="0" y="0"/>
                <wp:positionH relativeFrom="page">
                  <wp:posOffset>3865743</wp:posOffset>
                </wp:positionH>
                <wp:positionV relativeFrom="paragraph">
                  <wp:posOffset>400380</wp:posOffset>
                </wp:positionV>
                <wp:extent cx="2228850" cy="1270"/>
                <wp:effectExtent l="0" t="0" r="0" b="0"/>
                <wp:wrapNone/>
                <wp:docPr id="226" name="Graphic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8850">
                              <a:moveTo>
                                <a:pt x="0" y="0"/>
                              </a:moveTo>
                              <a:lnTo>
                                <a:pt x="222867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77F9E4" id="Graphic 226" o:spid="_x0000_s1026" style="position:absolute;margin-left:304.4pt;margin-top:31.55pt;width:175.5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PGMFAIAAFsEAAAOAAAAZHJzL2Uyb0RvYy54bWysVMFu2zAMvQ/YPwi6L04ytM2MOMXQoMOA&#10;oivQDDsrshwbk0WNVOLk70fJdpJ1t2E+CJT4RD7yUV7eH1srDgapAVfI2WQqhXEaysbtCvl98/hh&#10;IQUF5UplwZlCngzJ+9X7d8vO52YONdjSoOAgjvLOF7IOwedZRro2raIJeOPYWQG2KvAWd1mJquPo&#10;rc3m0+lt1gGWHkEbIj5d9065SvGryujwrarIBGELydxCWjGt27hmq6XKd6h83eiBhvoHFq1qHCc9&#10;h1qroMQem79CtY1GIKjCREObQVU12qQauJrZ9E01r7XyJtXCzSF/bhP9v7D6+fDqXzBSJ/8E+idx&#10;R7LOU372xA0NmGOFbcQycXFMXTydu2iOQWg+nM/ni8UNN1uzbza/S03OVD7e1XsKXwykOOrwRKHX&#10;oBwtVY+WPrrRRFYyamiThkEK1hClYA23vYZehXgvkoum6C5E4lkLB7OB5A1vmDO1i9e6a1Qs5fbu&#10;RoqxSsb2CDZiGu5Vb6TUbF8XZ11k8Wk2+5hGg8A25WNjbWRBuNs+WBQHFQczfbEOjvAHzCOFtaK6&#10;xyXXALNu0KmXJoq0hfL0gqLjaS4k/dorNFLYr47HJY7+aOBobEcDg32A9EBSgzjn5vhDoRcxfSED&#10;K/sM4zCqfBQtln7GxpsOPu8DVE1UNM1Qz2jY8ASnAofXFp/I9T6hLv+E1W8AAAD//wMAUEsDBBQA&#10;BgAIAAAAIQCjEayD4AAAAAkBAAAPAAAAZHJzL2Rvd25yZXYueG1sTI9Bb8IwDIXvk/YfIk/aZRop&#10;VKtKaYrQNCS0yzS2A9xCY9pqiVM1Abp/P3MaN/u9p+fP5XJ0VpxxCJ0nBdNJAgKp9qajRsH31/o5&#10;BxGiJqOtJ1TwiwGW1f1dqQvjL/SJ521sBJdQKLSCNsa+kDLULTodJr5HYu/oB6cjr0MjzaAvXO6s&#10;nCVJJp3uiC+0usfXFuuf7ckp2BzT7G3fbfDpw7p8tlrvjH7fKfX4MK4WICKO8T8MV3xGh4qZDv5E&#10;JgirIEtyRo88pFMQHJi/zFk4XIUUZFXK2w+qPwAAAP//AwBQSwECLQAUAAYACAAAACEAtoM4kv4A&#10;AADhAQAAEwAAAAAAAAAAAAAAAAAAAAAAW0NvbnRlbnRfVHlwZXNdLnhtbFBLAQItABQABgAIAAAA&#10;IQA4/SH/1gAAAJQBAAALAAAAAAAAAAAAAAAAAC8BAABfcmVscy8ucmVsc1BLAQItABQABgAIAAAA&#10;IQCr1PGMFAIAAFsEAAAOAAAAAAAAAAAAAAAAAC4CAABkcnMvZTJvRG9jLnhtbFBLAQItABQABgAI&#10;AAAAIQCjEayD4AAAAAkBAAAPAAAAAAAAAAAAAAAAAG4EAABkcnMvZG93bnJldi54bWxQSwUGAAAA&#10;AAQABADzAAAAewUAAAAA&#10;" path="m,l2228675,e" filled="f" strokeweight=".25314mm">
                <v:path arrowok="t"/>
                <w10:wrap anchorx="page"/>
              </v:shape>
            </w:pict>
          </mc:Fallback>
        </mc:AlternateContent>
      </w:r>
      <w:r w:rsidRPr="00362A68"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  <w:t>Stazione appaltante Appaltatore o concessionario</w:t>
      </w:r>
    </w:p>
    <w:p w14:paraId="406F950F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13B629E2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4E7176E0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71EA5CEB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46FB92A4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3C356D61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68B1E6DF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0BF2E18A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7FC32D84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p w14:paraId="5E0D77D0" w14:textId="77777777" w:rsidR="00362A68" w:rsidRPr="00362A68" w:rsidRDefault="00362A68" w:rsidP="00362A68">
      <w:pPr>
        <w:pStyle w:val="Titolo1"/>
        <w:spacing w:before="0" w:after="0"/>
        <w:ind w:right="376"/>
        <w:jc w:val="both"/>
        <w:rPr>
          <w:rFonts w:ascii="Microsoft Sans Serif" w:eastAsia="Microsoft Sans Serif" w:hAnsi="Microsoft Sans Serif" w:cs="Microsoft Sans Serif"/>
          <w:color w:val="auto"/>
          <w:sz w:val="22"/>
          <w:szCs w:val="22"/>
        </w:rPr>
      </w:pPr>
    </w:p>
    <w:sectPr w:rsidR="00362A68" w:rsidRPr="00362A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0196"/>
    <w:multiLevelType w:val="hybridMultilevel"/>
    <w:tmpl w:val="F79E05BE"/>
    <w:lvl w:ilvl="0" w:tplc="C1AC5F0E">
      <w:start w:val="1"/>
      <w:numFmt w:val="lowerLetter"/>
      <w:lvlText w:val="%1."/>
      <w:lvlJc w:val="left"/>
      <w:pPr>
        <w:ind w:left="86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2"/>
        <w:szCs w:val="22"/>
        <w:lang w:val="it-IT" w:eastAsia="en-US" w:bidi="ar-SA"/>
      </w:rPr>
    </w:lvl>
    <w:lvl w:ilvl="1" w:tplc="1B06F5EE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44D4C9D2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314C7FEA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92CAEFDE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B4522B06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E5243E02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45C2B8C0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5512F074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67A37B5"/>
    <w:multiLevelType w:val="hybridMultilevel"/>
    <w:tmpl w:val="B170A7A0"/>
    <w:lvl w:ilvl="0" w:tplc="26166B3E">
      <w:numFmt w:val="bullet"/>
      <w:lvlText w:val="□"/>
      <w:lvlJc w:val="left"/>
      <w:pPr>
        <w:ind w:left="15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90B85FE2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2" w:tplc="CFC678F8">
      <w:numFmt w:val="bullet"/>
      <w:lvlText w:val="•"/>
      <w:lvlJc w:val="left"/>
      <w:pPr>
        <w:ind w:left="3248" w:hanging="360"/>
      </w:pPr>
      <w:rPr>
        <w:rFonts w:hint="default"/>
        <w:lang w:val="it-IT" w:eastAsia="en-US" w:bidi="ar-SA"/>
      </w:rPr>
    </w:lvl>
    <w:lvl w:ilvl="3" w:tplc="49548012">
      <w:numFmt w:val="bullet"/>
      <w:lvlText w:val="•"/>
      <w:lvlJc w:val="left"/>
      <w:pPr>
        <w:ind w:left="4082" w:hanging="360"/>
      </w:pPr>
      <w:rPr>
        <w:rFonts w:hint="default"/>
        <w:lang w:val="it-IT" w:eastAsia="en-US" w:bidi="ar-SA"/>
      </w:rPr>
    </w:lvl>
    <w:lvl w:ilvl="4" w:tplc="DA48BB70">
      <w:numFmt w:val="bullet"/>
      <w:lvlText w:val="•"/>
      <w:lvlJc w:val="left"/>
      <w:pPr>
        <w:ind w:left="4916" w:hanging="360"/>
      </w:pPr>
      <w:rPr>
        <w:rFonts w:hint="default"/>
        <w:lang w:val="it-IT" w:eastAsia="en-US" w:bidi="ar-SA"/>
      </w:rPr>
    </w:lvl>
    <w:lvl w:ilvl="5" w:tplc="535C65EC">
      <w:numFmt w:val="bullet"/>
      <w:lvlText w:val="•"/>
      <w:lvlJc w:val="left"/>
      <w:pPr>
        <w:ind w:left="5751" w:hanging="360"/>
      </w:pPr>
      <w:rPr>
        <w:rFonts w:hint="default"/>
        <w:lang w:val="it-IT" w:eastAsia="en-US" w:bidi="ar-SA"/>
      </w:rPr>
    </w:lvl>
    <w:lvl w:ilvl="6" w:tplc="A6604DE6">
      <w:numFmt w:val="bullet"/>
      <w:lvlText w:val="•"/>
      <w:lvlJc w:val="left"/>
      <w:pPr>
        <w:ind w:left="6585" w:hanging="360"/>
      </w:pPr>
      <w:rPr>
        <w:rFonts w:hint="default"/>
        <w:lang w:val="it-IT" w:eastAsia="en-US" w:bidi="ar-SA"/>
      </w:rPr>
    </w:lvl>
    <w:lvl w:ilvl="7" w:tplc="DFE2725A">
      <w:numFmt w:val="bullet"/>
      <w:lvlText w:val="•"/>
      <w:lvlJc w:val="left"/>
      <w:pPr>
        <w:ind w:left="7419" w:hanging="360"/>
      </w:pPr>
      <w:rPr>
        <w:rFonts w:hint="default"/>
        <w:lang w:val="it-IT" w:eastAsia="en-US" w:bidi="ar-SA"/>
      </w:rPr>
    </w:lvl>
    <w:lvl w:ilvl="8" w:tplc="6196275C">
      <w:numFmt w:val="bullet"/>
      <w:lvlText w:val="•"/>
      <w:lvlJc w:val="left"/>
      <w:pPr>
        <w:ind w:left="825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D296118"/>
    <w:multiLevelType w:val="hybridMultilevel"/>
    <w:tmpl w:val="DF80C70A"/>
    <w:lvl w:ilvl="0" w:tplc="1E88C3D8">
      <w:start w:val="2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36783"/>
    <w:multiLevelType w:val="hybridMultilevel"/>
    <w:tmpl w:val="9440ED30"/>
    <w:lvl w:ilvl="0" w:tplc="D3CA8F0A">
      <w:numFmt w:val="bullet"/>
      <w:lvlText w:val="–"/>
      <w:lvlJc w:val="left"/>
      <w:pPr>
        <w:ind w:left="86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0F847866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80E2E4A8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BFF0EF12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17E036A2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75CEBC62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6D086DCE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15D85B50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9A765130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num w:numId="1" w16cid:durableId="609245695">
    <w:abstractNumId w:val="1"/>
  </w:num>
  <w:num w:numId="2" w16cid:durableId="1290817048">
    <w:abstractNumId w:val="0"/>
  </w:num>
  <w:num w:numId="3" w16cid:durableId="169179239">
    <w:abstractNumId w:val="3"/>
  </w:num>
  <w:num w:numId="4" w16cid:durableId="18501030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68"/>
    <w:rsid w:val="00362A68"/>
    <w:rsid w:val="00463E93"/>
    <w:rsid w:val="00C37E92"/>
    <w:rsid w:val="00F9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66531"/>
  <w15:chartTrackingRefBased/>
  <w15:docId w15:val="{B58B5447-5C29-4AAB-8C08-850DC7A4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2A6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62A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62A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62A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62A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2A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2A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2A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62A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2A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2A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2A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2A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2A6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2A6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2A6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2A6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2A6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2A6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2A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62A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2A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2A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2A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2A6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362A6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62A6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2A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2A6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2A68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362A68"/>
    <w:rPr>
      <w:rFonts w:ascii="Microsoft Sans Serif" w:eastAsia="Microsoft Sans Serif" w:hAnsi="Microsoft Sans Serif" w:cs="Microsoft Sans Serif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62A68"/>
    <w:rPr>
      <w:rFonts w:ascii="Microsoft Sans Serif" w:eastAsia="Microsoft Sans Serif" w:hAnsi="Microsoft Sans Serif" w:cs="Microsoft Sans Serif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1504</Words>
  <Characters>8575</Characters>
  <Application>Microsoft Office Word</Application>
  <DocSecurity>0</DocSecurity>
  <Lines>71</Lines>
  <Paragraphs>20</Paragraphs>
  <ScaleCrop>false</ScaleCrop>
  <Company/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 di Pove del Grappa Comune di Pove del Grappa</dc:creator>
  <cp:keywords/>
  <dc:description/>
  <cp:lastModifiedBy>Comune di Pove del Grappa Comune di Pove del Grappa</cp:lastModifiedBy>
  <cp:revision>2</cp:revision>
  <dcterms:created xsi:type="dcterms:W3CDTF">2026-04-10T08:53:00Z</dcterms:created>
  <dcterms:modified xsi:type="dcterms:W3CDTF">2026-04-10T18:33:00Z</dcterms:modified>
</cp:coreProperties>
</file>